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9C" w:rsidRDefault="000A619C"/>
    <w:p w:rsidR="000A619C" w:rsidRDefault="000A619C"/>
    <w:p w:rsidR="000A619C" w:rsidRDefault="000A619C" w:rsidP="000A619C">
      <w:pPr>
        <w:spacing w:line="240" w:lineRule="auto"/>
        <w:ind w:left="9912" w:hanging="9345"/>
        <w:jc w:val="right"/>
        <w:rPr>
          <w:rFonts w:ascii="Times New Roman" w:hAnsi="Times New Roman" w:cs="Times New Roman"/>
          <w:sz w:val="24"/>
          <w:szCs w:val="24"/>
        </w:rPr>
      </w:pPr>
      <w:r w:rsidRPr="000A619C">
        <w:rPr>
          <w:rFonts w:ascii="Times New Roman" w:hAnsi="Times New Roman" w:cs="Times New Roman"/>
          <w:sz w:val="24"/>
          <w:szCs w:val="24"/>
        </w:rPr>
        <w:t xml:space="preserve">Załączniki </w:t>
      </w:r>
      <w:r>
        <w:rPr>
          <w:rFonts w:ascii="Times New Roman" w:hAnsi="Times New Roman" w:cs="Times New Roman"/>
          <w:sz w:val="24"/>
          <w:szCs w:val="24"/>
        </w:rPr>
        <w:t xml:space="preserve">nr 2 </w:t>
      </w:r>
    </w:p>
    <w:p w:rsidR="000A619C" w:rsidRDefault="000A619C" w:rsidP="000A619C">
      <w:pPr>
        <w:spacing w:line="240" w:lineRule="auto"/>
        <w:ind w:left="9912" w:hanging="934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A619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0A619C">
        <w:rPr>
          <w:rFonts w:ascii="Times New Roman" w:hAnsi="Times New Roman" w:cs="Times New Roman"/>
          <w:sz w:val="24"/>
          <w:szCs w:val="24"/>
        </w:rPr>
        <w:t xml:space="preserve"> zarządzenia Nr 29</w:t>
      </w:r>
      <w:r>
        <w:rPr>
          <w:rFonts w:ascii="Times New Roman" w:hAnsi="Times New Roman" w:cs="Times New Roman"/>
          <w:sz w:val="24"/>
          <w:szCs w:val="24"/>
        </w:rPr>
        <w:t>9/</w:t>
      </w:r>
      <w:r w:rsidRPr="000A619C">
        <w:rPr>
          <w:rFonts w:ascii="Times New Roman" w:hAnsi="Times New Roman" w:cs="Times New Roman"/>
          <w:sz w:val="24"/>
          <w:szCs w:val="24"/>
        </w:rPr>
        <w:t>2016</w:t>
      </w:r>
    </w:p>
    <w:tbl>
      <w:tblPr>
        <w:tblStyle w:val="Tabela-Siatka"/>
        <w:tblpPr w:leftFromText="141" w:rightFromText="141" w:vertAnchor="page" w:horzAnchor="margin" w:tblpXSpec="center" w:tblpY="4126"/>
        <w:tblW w:w="15520" w:type="dxa"/>
        <w:tblLook w:val="04A0" w:firstRow="1" w:lastRow="0" w:firstColumn="1" w:lastColumn="0" w:noHBand="0" w:noVBand="1"/>
      </w:tblPr>
      <w:tblGrid>
        <w:gridCol w:w="534"/>
        <w:gridCol w:w="10064"/>
        <w:gridCol w:w="2693"/>
        <w:gridCol w:w="2229"/>
      </w:tblGrid>
      <w:tr w:rsidR="000A619C" w:rsidRPr="000A619C" w:rsidTr="000A619C">
        <w:trPr>
          <w:trHeight w:val="977"/>
        </w:trPr>
        <w:tc>
          <w:tcPr>
            <w:tcW w:w="1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9C" w:rsidRPr="000A619C" w:rsidRDefault="000A619C" w:rsidP="000A61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>Harmonogram czynności w postępowaniu rekrutacyjnym oraz postępowaniu uzupełniającym na rok szkolny 2016/2017 do klas I szkół podstawowych, dla których organem prowadzącym jest Gmina Miejska Pruszcz Gdański</w:t>
            </w:r>
          </w:p>
        </w:tc>
      </w:tr>
      <w:tr w:rsidR="000A619C" w:rsidRPr="000A619C" w:rsidTr="000A619C">
        <w:trPr>
          <w:trHeight w:val="845"/>
        </w:trPr>
        <w:tc>
          <w:tcPr>
            <w:tcW w:w="534" w:type="dxa"/>
            <w:tcBorders>
              <w:top w:val="single" w:sz="4" w:space="0" w:color="auto"/>
            </w:tcBorders>
          </w:tcPr>
          <w:p w:rsidR="000A619C" w:rsidRPr="000A619C" w:rsidRDefault="000A619C" w:rsidP="000A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0A619C" w:rsidRPr="000A619C" w:rsidRDefault="000A619C" w:rsidP="000A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>Czynność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A619C" w:rsidRPr="000A619C" w:rsidRDefault="000A619C" w:rsidP="000A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>Postępowanie rekrutacyjne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0A619C" w:rsidRPr="000A619C" w:rsidRDefault="000A619C" w:rsidP="000A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>Postępowanie uzupełniające</w:t>
            </w:r>
          </w:p>
        </w:tc>
      </w:tr>
      <w:tr w:rsidR="000A619C" w:rsidRPr="000A619C" w:rsidTr="000A619C">
        <w:trPr>
          <w:trHeight w:val="1007"/>
        </w:trPr>
        <w:tc>
          <w:tcPr>
            <w:tcW w:w="534" w:type="dxa"/>
          </w:tcPr>
          <w:p w:rsidR="000A619C" w:rsidRPr="000A619C" w:rsidRDefault="000A619C" w:rsidP="000A6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064" w:type="dxa"/>
          </w:tcPr>
          <w:p w:rsidR="000A619C" w:rsidRPr="000A619C" w:rsidRDefault="000A619C" w:rsidP="000A6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sz w:val="20"/>
                <w:szCs w:val="20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2693" w:type="dxa"/>
          </w:tcPr>
          <w:p w:rsidR="000A619C" w:rsidRPr="000A619C" w:rsidRDefault="000A619C" w:rsidP="000A6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>od</w:t>
            </w:r>
            <w:proofErr w:type="gramEnd"/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do 15 czerwca 2016 r.</w:t>
            </w:r>
          </w:p>
        </w:tc>
        <w:tc>
          <w:tcPr>
            <w:tcW w:w="2229" w:type="dxa"/>
          </w:tcPr>
          <w:p w:rsidR="000A619C" w:rsidRPr="000A619C" w:rsidRDefault="000A619C" w:rsidP="000A6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>od</w:t>
            </w:r>
            <w:proofErr w:type="gramEnd"/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 do 17 sierpnia 2016 r.</w:t>
            </w:r>
          </w:p>
        </w:tc>
      </w:tr>
      <w:tr w:rsidR="000A619C" w:rsidRPr="000A619C" w:rsidTr="000A619C">
        <w:trPr>
          <w:trHeight w:val="1064"/>
        </w:trPr>
        <w:tc>
          <w:tcPr>
            <w:tcW w:w="534" w:type="dxa"/>
          </w:tcPr>
          <w:p w:rsidR="000A619C" w:rsidRPr="000A619C" w:rsidRDefault="000A619C" w:rsidP="000A6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064" w:type="dxa"/>
          </w:tcPr>
          <w:p w:rsidR="000A619C" w:rsidRPr="000A619C" w:rsidRDefault="000A619C" w:rsidP="000A6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sz w:val="20"/>
                <w:szCs w:val="20"/>
              </w:rPr>
              <w:t xml:space="preserve"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 20t ust. 7 </w:t>
            </w:r>
            <w:proofErr w:type="spellStart"/>
            <w:r w:rsidRPr="000A619C">
              <w:rPr>
                <w:rFonts w:ascii="Times New Roman" w:hAnsi="Times New Roman" w:cs="Times New Roman"/>
                <w:sz w:val="20"/>
                <w:szCs w:val="20"/>
              </w:rPr>
              <w:t>uso</w:t>
            </w:r>
            <w:proofErr w:type="spellEnd"/>
            <w:r w:rsidRPr="000A619C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693" w:type="dxa"/>
          </w:tcPr>
          <w:p w:rsidR="000A619C" w:rsidRPr="000A619C" w:rsidRDefault="000A619C" w:rsidP="000A6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>od</w:t>
            </w:r>
            <w:proofErr w:type="gramEnd"/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 do 30 czerwca 2016 r.</w:t>
            </w:r>
          </w:p>
        </w:tc>
        <w:tc>
          <w:tcPr>
            <w:tcW w:w="2229" w:type="dxa"/>
          </w:tcPr>
          <w:p w:rsidR="000A619C" w:rsidRPr="000A619C" w:rsidRDefault="000A619C" w:rsidP="000A6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>od</w:t>
            </w:r>
            <w:proofErr w:type="gramEnd"/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 do 24 sierpnia 2016 r.</w:t>
            </w:r>
          </w:p>
        </w:tc>
      </w:tr>
      <w:tr w:rsidR="000A619C" w:rsidRPr="000A619C" w:rsidTr="000A619C">
        <w:trPr>
          <w:trHeight w:val="699"/>
        </w:trPr>
        <w:tc>
          <w:tcPr>
            <w:tcW w:w="534" w:type="dxa"/>
          </w:tcPr>
          <w:p w:rsidR="000A619C" w:rsidRPr="000A619C" w:rsidRDefault="000A619C" w:rsidP="000A6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064" w:type="dxa"/>
          </w:tcPr>
          <w:p w:rsidR="000A619C" w:rsidRPr="000A619C" w:rsidRDefault="000A619C" w:rsidP="000A6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693" w:type="dxa"/>
          </w:tcPr>
          <w:p w:rsidR="000A619C" w:rsidRPr="000A619C" w:rsidRDefault="000A619C" w:rsidP="000A6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lipca 2016 r. </w:t>
            </w:r>
          </w:p>
        </w:tc>
        <w:tc>
          <w:tcPr>
            <w:tcW w:w="2229" w:type="dxa"/>
          </w:tcPr>
          <w:p w:rsidR="000A619C" w:rsidRPr="000A619C" w:rsidRDefault="000A619C" w:rsidP="000A6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>25 sierpnia 2016 r.</w:t>
            </w:r>
          </w:p>
        </w:tc>
      </w:tr>
      <w:tr w:rsidR="000A619C" w:rsidRPr="000A619C" w:rsidTr="000A619C">
        <w:trPr>
          <w:trHeight w:val="337"/>
        </w:trPr>
        <w:tc>
          <w:tcPr>
            <w:tcW w:w="534" w:type="dxa"/>
          </w:tcPr>
          <w:p w:rsidR="000A619C" w:rsidRPr="000A619C" w:rsidRDefault="000A619C" w:rsidP="000A6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064" w:type="dxa"/>
          </w:tcPr>
          <w:p w:rsidR="000A619C" w:rsidRPr="000A619C" w:rsidRDefault="000A619C" w:rsidP="000A6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693" w:type="dxa"/>
          </w:tcPr>
          <w:p w:rsidR="000A619C" w:rsidRPr="000A619C" w:rsidRDefault="000A619C" w:rsidP="000A6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proofErr w:type="gramEnd"/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lipca 2016 r.</w:t>
            </w:r>
          </w:p>
        </w:tc>
        <w:tc>
          <w:tcPr>
            <w:tcW w:w="2229" w:type="dxa"/>
          </w:tcPr>
          <w:p w:rsidR="000A619C" w:rsidRPr="000A619C" w:rsidRDefault="000A619C" w:rsidP="000A6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proofErr w:type="gramEnd"/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29 sierpnia 2016 r.</w:t>
            </w:r>
          </w:p>
        </w:tc>
      </w:tr>
      <w:tr w:rsidR="000A619C" w:rsidRPr="000A619C" w:rsidTr="000A619C">
        <w:trPr>
          <w:trHeight w:val="363"/>
        </w:trPr>
        <w:tc>
          <w:tcPr>
            <w:tcW w:w="534" w:type="dxa"/>
          </w:tcPr>
          <w:p w:rsidR="000A619C" w:rsidRPr="000A619C" w:rsidRDefault="000A619C" w:rsidP="000A6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064" w:type="dxa"/>
          </w:tcPr>
          <w:p w:rsidR="000A619C" w:rsidRPr="000A619C" w:rsidRDefault="000A619C" w:rsidP="000A6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693" w:type="dxa"/>
          </w:tcPr>
          <w:p w:rsidR="000A619C" w:rsidRPr="000A619C" w:rsidRDefault="000A619C" w:rsidP="000A6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>8 lipc</w:t>
            </w:r>
            <w:bookmarkStart w:id="0" w:name="_GoBack"/>
            <w:bookmarkEnd w:id="0"/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>a 2016 r.</w:t>
            </w:r>
          </w:p>
        </w:tc>
        <w:tc>
          <w:tcPr>
            <w:tcW w:w="2229" w:type="dxa"/>
          </w:tcPr>
          <w:p w:rsidR="000A619C" w:rsidRPr="000A619C" w:rsidRDefault="000A619C" w:rsidP="000A6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19C">
              <w:rPr>
                <w:rFonts w:ascii="Times New Roman" w:hAnsi="Times New Roman" w:cs="Times New Roman"/>
                <w:b/>
                <w:sz w:val="20"/>
                <w:szCs w:val="20"/>
              </w:rPr>
              <w:t>31 sierpnia 2016 r.</w:t>
            </w:r>
          </w:p>
        </w:tc>
      </w:tr>
    </w:tbl>
    <w:p w:rsidR="000A619C" w:rsidRPr="000A619C" w:rsidRDefault="000A619C" w:rsidP="000A619C">
      <w:pPr>
        <w:spacing w:line="240" w:lineRule="auto"/>
        <w:ind w:left="9912" w:hanging="9345"/>
        <w:jc w:val="right"/>
        <w:rPr>
          <w:rFonts w:ascii="Times New Roman" w:hAnsi="Times New Roman" w:cs="Times New Roman"/>
          <w:sz w:val="24"/>
          <w:szCs w:val="24"/>
        </w:rPr>
      </w:pPr>
      <w:r w:rsidRPr="000A619C">
        <w:rPr>
          <w:rFonts w:ascii="Times New Roman" w:hAnsi="Times New Roman" w:cs="Times New Roman"/>
          <w:sz w:val="24"/>
          <w:szCs w:val="24"/>
        </w:rPr>
        <w:t>Burmistrza Pruszcza Gdańskiego z dnia 27 stycznia 2016 r.</w:t>
      </w:r>
    </w:p>
    <w:sectPr w:rsidR="000A619C" w:rsidRPr="000A619C" w:rsidSect="000A619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DD" w:rsidRDefault="00D10DDD" w:rsidP="000A619C">
      <w:pPr>
        <w:spacing w:after="0" w:line="240" w:lineRule="auto"/>
      </w:pPr>
      <w:r>
        <w:separator/>
      </w:r>
    </w:p>
  </w:endnote>
  <w:endnote w:type="continuationSeparator" w:id="0">
    <w:p w:rsidR="00D10DDD" w:rsidRDefault="00D10DDD" w:rsidP="000A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DD" w:rsidRDefault="00D10DDD" w:rsidP="000A619C">
      <w:pPr>
        <w:spacing w:after="0" w:line="240" w:lineRule="auto"/>
      </w:pPr>
      <w:r>
        <w:separator/>
      </w:r>
    </w:p>
  </w:footnote>
  <w:footnote w:type="continuationSeparator" w:id="0">
    <w:p w:rsidR="00D10DDD" w:rsidRDefault="00D10DDD" w:rsidP="000A619C">
      <w:pPr>
        <w:spacing w:after="0" w:line="240" w:lineRule="auto"/>
      </w:pPr>
      <w:r>
        <w:continuationSeparator/>
      </w:r>
    </w:p>
  </w:footnote>
  <w:footnote w:id="1">
    <w:p w:rsidR="000A619C" w:rsidRDefault="000A619C" w:rsidP="000A619C">
      <w:pPr>
        <w:pStyle w:val="Tekstprzypisudolnego"/>
      </w:pPr>
      <w:r w:rsidRPr="00DB0D75">
        <w:rPr>
          <w:rStyle w:val="Odwoanieprzypisudolnego"/>
          <w:sz w:val="16"/>
          <w:szCs w:val="16"/>
        </w:rPr>
        <w:footnoteRef/>
      </w:r>
      <w:r w:rsidRPr="00DB0D75">
        <w:rPr>
          <w:rFonts w:ascii="Times New Roman" w:hAnsi="Times New Roman" w:cs="Times New Roman"/>
          <w:sz w:val="16"/>
          <w:szCs w:val="16"/>
        </w:rPr>
        <w:t xml:space="preserve"> Przewodniczący komisji rekrutacyjnej może żądać dokumentów potwierdzających okoliczności zawarte w oświadczeniach, o których mowa w art. 20t ust. 2 </w:t>
      </w:r>
      <w:proofErr w:type="spellStart"/>
      <w:r w:rsidRPr="00DB0D75">
        <w:rPr>
          <w:rFonts w:ascii="Times New Roman" w:hAnsi="Times New Roman" w:cs="Times New Roman"/>
          <w:sz w:val="16"/>
          <w:szCs w:val="16"/>
        </w:rPr>
        <w:t>uso</w:t>
      </w:r>
      <w:proofErr w:type="spellEnd"/>
      <w:r w:rsidRPr="00DB0D75">
        <w:rPr>
          <w:rFonts w:ascii="Times New Roman" w:hAnsi="Times New Roman" w:cs="Times New Roman"/>
          <w:sz w:val="16"/>
          <w:szCs w:val="16"/>
        </w:rPr>
        <w:t>, w terminie wyznaczonym przez przewodniczącego, lub też może zwrócić się do wójta (burmistrza, prezydenta miasta) właściwego ze względu na miejsce zamieszkania kandydata o potwierdzenie tych okoliczności. Wójt (burmistrz, prezydent miasta) potwierdza te okoliczności w terminie 14 dni.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9C"/>
    <w:rsid w:val="000A619C"/>
    <w:rsid w:val="00187CDC"/>
    <w:rsid w:val="008679E4"/>
    <w:rsid w:val="00D1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1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19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1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19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1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1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19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1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19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1</cp:revision>
  <dcterms:created xsi:type="dcterms:W3CDTF">2016-06-01T08:42:00Z</dcterms:created>
  <dcterms:modified xsi:type="dcterms:W3CDTF">2016-06-01T08:45:00Z</dcterms:modified>
</cp:coreProperties>
</file>